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2020年10月水上安全形势分析报告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85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一、月度险情形势总体概述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58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船舶流量1.04万艘次，同比增长8%，环比下降3%。险情8起。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二、VTS监管与服务情况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本月接收船舶报告3.45万艘次，提供安全信息服务0.49万次；VTS区域未发生监管责任事故。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三、月度辖区险情分析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5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bdr w:val="none" w:color="auto" w:sz="0" w:space="0"/>
        </w:rPr>
        <w:t>10月份河北辖区共接报海上险情8起，其中较大等级险情2起，一般等级险情6起。10月份共组织救助行动8次，协调船艇566艘次。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E50E7"/>
    <w:rsid w:val="06A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2020-11-25T06:50:00Z</dcterms:created>
  <dc:creator>焦建宜</dc:creator>
  <cp:lastModifiedBy>焦建宜</cp:lastModifiedBy>
  <dcterms:modified xsi:type="dcterms:W3CDTF">2020-11-25T06:51:43Z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