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  <w:bdr w:val="none" w:color="auto" w:sz="0" w:space="0"/>
          <w:shd w:val="clear" w:fill="FFFFFF"/>
        </w:rPr>
        <w:t>河北辖区2020年3月份辖区进出港船舶数量统计</w:t>
      </w:r>
    </w:p>
    <w:p>
      <w:r>
        <w:drawing>
          <wp:inline distT="0" distB="0" distL="114300" distR="114300">
            <wp:extent cx="5267325" cy="1160145"/>
            <wp:effectExtent l="0" t="0" r="952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2029B"/>
    <w:rsid w:val="51A2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2020-11-20T11:00:00Z</dcterms:created>
  <dc:creator>焦建宜</dc:creator>
  <cp:lastModifiedBy>焦建宜</cp:lastModifiedBy>
  <dcterms:modified xsi:type="dcterms:W3CDTF">2020-11-20T11:00:40Z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