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E337A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E337A"/>
          <w:spacing w:val="0"/>
          <w:sz w:val="45"/>
          <w:szCs w:val="45"/>
          <w:bdr w:val="none" w:color="auto" w:sz="0" w:space="0"/>
          <w:shd w:val="clear" w:fill="FFFFFF"/>
        </w:rPr>
        <w:t>2020年6月水上安全形势分析报告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85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一、月度险情形势总体概述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8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船舶流量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1.05万艘次，同比增长3%，环比增长6%。险情1起。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二、VTS监管与服务情况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本月接收船舶报告3.44万艘次，提供安全信息服务0.44万次；VTS区域未发生监管责任事故。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三、月度辖区险情分析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6月份河北辖区共接报海上险情1起，为一般等级险情。6月份共组织救助行动1次，协调船艇2艘次，成功救助17人，人命救助成功率100%。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四、月度辖区事故情况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6月份河北辖区无事故发生。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35954"/>
    <w:rsid w:val="6283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2020-11-20T10:22:00Z</dcterms:created>
  <dc:creator>焦建宜</dc:creator>
  <cp:lastModifiedBy>焦建宜</cp:lastModifiedBy>
  <dcterms:modified xsi:type="dcterms:W3CDTF">2020-11-20T10:22:19Z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